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ind w:firstLine="705"/>
        <w:jc w:val="right"/>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Отчёт главы МО ГО «Сыктывкар» -</w:t>
      </w:r>
    </w:p>
    <w:p>
      <w:pPr>
        <w:pStyle w:val="Normal1"/>
        <w:spacing w:lineRule="auto" w:line="240"/>
        <w:ind w:firstLine="705"/>
        <w:jc w:val="right"/>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руководителя администрации Н.С.Хозяиновой</w:t>
      </w:r>
    </w:p>
    <w:p>
      <w:pPr>
        <w:pStyle w:val="Normal1"/>
        <w:spacing w:lineRule="auto" w:line="240"/>
        <w:ind w:firstLine="705"/>
        <w:jc w:val="right"/>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о деятельности за 2020 год</w:t>
      </w:r>
    </w:p>
    <w:p>
      <w:pPr>
        <w:pStyle w:val="Normal1"/>
        <w:spacing w:lineRule="auto" w:line="240"/>
        <w:ind w:firstLine="705"/>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1"/>
        <w:spacing w:lineRule="auto" w:line="240"/>
        <w:ind w:firstLine="705"/>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1"/>
        <w:spacing w:lineRule="auto" w:line="240"/>
        <w:ind w:firstLine="705"/>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Слайд 1 (заставочный).</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Добрый день, уважаемые депутаты и приглашенные!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Представляю вашему вниманию отчёт о результатах деятельности администрации за 2020 год.</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Безусловно, муниципальная специфика охватывает огромное количество направлений работы и аспектов жизни города. Работу по каждой из отраслей можно представлять отдельными детальными докладами. Поэтому в своём отчёте я заострю ваше внимание на ключевых моментах деятельности мэрии в 2020 году.</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Минувший год был крайне напряжённым из-за коронавируса. По-сути мы столкнулись с такими вызовами, с которыми до этого не встречались. Нам пришлось перестраивать работу сходу, принимать подчас сложные решения за считанные дни и часы.</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такой ситуации оказались все:  государственные  и муниципальные учреждения, предприятия и организации, средний и малый бизнес. И мы отдавали себе отчёт, что наши решения оказывают значимое влияние на повседневную жизнь горожан, сферу услуг, работу предпринимателей и бизнеса в целом.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этих обстоятельствах нашей главной задачей было  остается сохранение бюджетной сбалансированности, обеспечение стабильной работы детских садов и школ, учреждений культуры и спорта, коммунальных служб и так далее. Считаю, что мы справились с этим.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Остановлюсь по порядку на основных направлениях.</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Первое и основное - это </w:t>
      </w:r>
      <w:r>
        <w:rPr>
          <w:rFonts w:eastAsia="Times New Roman" w:cs="Times New Roman" w:ascii="Times New Roman" w:hAnsi="Times New Roman"/>
          <w:b/>
          <w:sz w:val="28"/>
          <w:szCs w:val="28"/>
          <w:highlight w:val="white"/>
        </w:rPr>
        <w:t>бюджет</w:t>
      </w:r>
      <w:r>
        <w:rPr>
          <w:rFonts w:eastAsia="Times New Roman" w:cs="Times New Roman" w:ascii="Times New Roman" w:hAnsi="Times New Roman"/>
          <w:sz w:val="28"/>
          <w:szCs w:val="28"/>
          <w:highlight w:val="white"/>
        </w:rPr>
        <w:t>. Накануне вы, уважаемые депутаты, уже рассматривали его исполнение, поэтому ограничусь его основными параметрами. Они представлены на слайде.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Подчеркну, что в прошлом году бюджет города впервые без малого составил 10 млрд рублей. При этом нам общий объём доходов почти на вырос на полмиллиарда рублей. Это достигнуто благодаря мерам по обеспечению бюджетной сбалансированности и повышению эффективности расходов.</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Как я отметила ранее, в прошлом году нам было важно сохранить работу наших учреждений и предприятий. И в 2020 году ни одно предприятие муниципальной формы собственности не находилось в стадии банкротства.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этого, были выполнены все обязательства в социальной сфере, а также в полной мере реализованы все мероприятия в рамках реализации национальных проектов.</w:t>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Слайд 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Напомню, в нашей республике реализуется 13 нацпроектов, в прошлом году в столице финансировалось 4 нацпроекта, их перечень и объёмы финансирования представлены на слайде </w:t>
      </w:r>
      <w:r>
        <w:rPr>
          <w:rFonts w:eastAsia="Times New Roman" w:cs="Times New Roman" w:ascii="Times New Roman" w:hAnsi="Times New Roman"/>
          <w:i/>
          <w:sz w:val="28"/>
          <w:szCs w:val="28"/>
          <w:highlight w:val="white"/>
        </w:rPr>
        <w:t>(пауза)</w:t>
      </w:r>
      <w:r>
        <w:rPr>
          <w:rFonts w:eastAsia="Times New Roman" w:cs="Times New Roman" w:ascii="Times New Roman" w:hAnsi="Times New Roman"/>
          <w:sz w:val="28"/>
          <w:szCs w:val="28"/>
          <w:highlight w:val="white"/>
        </w:rPr>
        <w:t>.</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Совокупно на их реализацию направлен 1 млрд 635 млн рублей. Отмечу, что в сравнении с 2019 годом мы увеличили долю софинансирования реализации нацпроектов почти на 150 млн рублей (148,8 мл руб.)  </w:t>
      </w:r>
      <w:r>
        <w:rPr>
          <w:rFonts w:eastAsia="Times New Roman" w:cs="Times New Roman" w:ascii="Times New Roman" w:hAnsi="Times New Roman"/>
          <w:i/>
          <w:sz w:val="28"/>
          <w:szCs w:val="28"/>
          <w:highlight w:val="white"/>
        </w:rPr>
        <w:t>(пауза)</w:t>
      </w:r>
      <w:r>
        <w:rPr>
          <w:rFonts w:eastAsia="Times New Roman" w:cs="Times New Roman" w:ascii="Times New Roman" w:hAnsi="Times New Roman"/>
          <w:sz w:val="28"/>
          <w:szCs w:val="28"/>
          <w:highlight w:val="white"/>
        </w:rPr>
        <w:t>.</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 </w:t>
      </w:r>
    </w:p>
    <w:p>
      <w:pPr>
        <w:pStyle w:val="Normal1"/>
        <w:spacing w:lineRule="auto" w:line="240"/>
        <w:ind w:right="8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2020 году в Сыктывкаре была продолжена реализация национального проекта «Безопасные и качественные дороги» - сокращенно  БКД. Разбивка по финансированию перед вами.</w:t>
      </w:r>
    </w:p>
    <w:p>
      <w:pPr>
        <w:pStyle w:val="Normal1"/>
        <w:spacing w:lineRule="auto" w:line="240"/>
        <w:ind w:right="8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6,7 </w:t>
      </w:r>
    </w:p>
    <w:p>
      <w:pPr>
        <w:pStyle w:val="Normal1"/>
        <w:spacing w:lineRule="auto" w:line="240"/>
        <w:ind w:right="8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На следующем слайде представлен перечень дорог, отремонтированных по БКД в прошлом году. Как вы видите, список достаточно обширный, как и география охвата ремонта. К примеру, в прошлом году мы уделили внимание пригородным поселкам, дороги ремонтировались в Краснозатонском, Верхней Максаковке. Также отремонтировали основные улицы в Лесозаводе.</w:t>
      </w:r>
    </w:p>
    <w:p>
      <w:pPr>
        <w:pStyle w:val="Normal1"/>
        <w:spacing w:lineRule="auto" w:line="240"/>
        <w:ind w:right="8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8 </w:t>
      </w:r>
    </w:p>
    <w:p>
      <w:pPr>
        <w:pStyle w:val="Normal"/>
        <w:spacing w:lineRule="auto" w:line="240"/>
        <w:jc w:val="both"/>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highlight w:val="white"/>
        </w:rPr>
        <w:tab/>
        <w:t>На следующем слайде представлены примеры отремонтированных дорог в формате “БЫЛО - СТАЛО”. Ремонт произведён по зарекомендовавшей себя технологии укладки щебёночно-мастичного асфальтобетона. Минувшая зима была очень морозной, однако отремонтированные в рамках БКАД дороги перенесли низкие температуры удовлетворительно.</w:t>
      </w:r>
      <w:r>
        <w:rPr>
          <w:rFonts w:eastAsia="Times New Roman" w:cs="Times New Roman" w:ascii="Times New Roman" w:hAnsi="Times New Roman"/>
          <w:color w:val="FF0000"/>
          <w:sz w:val="28"/>
          <w:szCs w:val="28"/>
          <w:highlight w:val="white"/>
        </w:rPr>
        <w:t xml:space="preserve"> </w:t>
      </w:r>
    </w:p>
    <w:p>
      <w:pPr>
        <w:pStyle w:val="Normal"/>
        <w:spacing w:lineRule="auto" w:line="240"/>
        <w:jc w:val="both"/>
        <w:rPr>
          <w:rFonts w:ascii="Times New Roman" w:hAnsi="Times New Roman" w:cs="Times New Roman"/>
          <w:sz w:val="28"/>
          <w:szCs w:val="28"/>
        </w:rPr>
      </w:pPr>
      <w:r>
        <w:rPr>
          <w:rFonts w:eastAsia="Times New Roman" w:cs="Times New Roman" w:ascii="Times New Roman" w:hAnsi="Times New Roman"/>
          <w:color w:val="FF0000"/>
          <w:sz w:val="28"/>
          <w:szCs w:val="28"/>
        </w:rPr>
        <w:tab/>
      </w:r>
      <w:r>
        <w:rPr>
          <w:rFonts w:cs="Times New Roman" w:ascii="Times New Roman" w:hAnsi="Times New Roman"/>
          <w:sz w:val="28"/>
          <w:szCs w:val="28"/>
        </w:rPr>
        <w:t>В рамках исполнения гарантийных обязательств в 2021 году проведены комиссионные осмотры состояния отремонтированных в 2020 году дорог. По результатам осмотров составлено пять актов и направлены требования подрядным организациям на устранение образовавшихся дефектов. На сегодняшний день устранено 70% замечаний, по оставшимся срок выполнения до конца августа 2021 года.</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Напомню, что гарантийный срок сохранности дорожного полотна составляет 5 лет, комиссионные осмотры будут продолжены. </w:t>
      </w:r>
    </w:p>
    <w:p>
      <w:pPr>
        <w:pStyle w:val="Normal1"/>
        <w:spacing w:lineRule="auto" w:line="240"/>
        <w:ind w:right="8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right="8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9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этого, за счет средств гранта Главы Республики Коми в 2020 году были отремонтирована дорога до местечка Красная гора, а также в добавок к БКД Октябрьский проспект от Красных Партизан до Орджоникидзе (пауза).</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10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Отмечу, что мы ввели практику синхронизации ремонта дорог с планами ремонта сетей ресурсоснабжающими организациями, благодаря чему удаётся избежать повсеместного рытья котлованов по свежему асфальту.</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 примеру, за прошлый год “Сыктывкарский водоканал” в рамках своей программы заменил более 9 километров сетей водоснабжения и водоотведения. Также предприятием “Жилкомсервис” отремонтировано свыше полукилометра сетей лИвневой канализации.</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sz w:val="28"/>
          <w:szCs w:val="28"/>
          <w:highlight w:val="white"/>
        </w:rPr>
        <w:t>Я напомню, что самые важные и сложные работы по указанным выше сетям были сосредоточены на Октябрьском проспекте - от Чкалова до Орджоникидзе. Благодаря современным технологиям ремонт шёл без сплошного вскрытия дороги и без полного перекрытия проспекта, благодаря чему удалось избежать транспортного коллапса. В последующем этот участок проспекта был заасфальтирован в рамках БКД.</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этой части у нас есть ещё один проект, к реализации которого мы идём несколько лет - это очистные сооружения для ливнестока на улице Пушкина. Он позволит концентрировать и очищать стоки талых и дождевых вод с улицы Пушкина и прилегающих к ней улиц. В прошлом году мы завершили работу над проектной документацией, по состоянию на сегодня – находимся на стадии получения заключения госэкспертизы. Это будет типовой проект, который можно будет применить и по другим выпускам ливневок, которых у нас в городе 16 . Стоимость одного такого сооружения - около 110 млн рублей, поэтому мы включаем его в муниципальную инвестпрограмму.</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11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Следующий нацпроект - «Жилье и городская среда». Он разделён на несколько направлений. В Сыктывкаре реализация нацпроектов шла по трём проектам. Пожалуй, самый известный и осязаемый для горожан - это федеральный проект “Формирование комфортной городской среды” или коротко ФКГС.</w:t>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Слайд 12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По этому проекту в прошлом году отремонтировано 11 дворов и 11 общественных территорий. Отмечу важнейшие проекты благоустройства - это мемориал у Свято-Вознесенского храма в Кируле и благоустройство в гранитном исполнении “площадки под часами”. В прошлом году на площадке “под часами” был завершён первый и самый объемный этап работ, в этом году мы завершаем второй этап с установкой малых архитектурных форм, светильников и арт-объектов в виде больших качелей.</w:t>
      </w:r>
    </w:p>
    <w:p>
      <w:pPr>
        <w:pStyle w:val="Normal1"/>
        <w:spacing w:lineRule="auto" w:line="240"/>
        <w:ind w:firstLine="705"/>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13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Во дворах проведены работы по замене асфальта в проездах и пешеходных частях с заменой бордюрных камней. Обновлены светильники на энергосберегающие, что привело к повышению уровня освещенности территорий и экономии денежных средств, а также установили скамейки и урны. Перечень дворов представлен на слайде.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Дополнительно была отремонтирована территория у многоквартирных домов №№ 2 и 4 по ул. Банбана. </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На следующем слайде представлены примеры пары дворов в формате «было-стало».</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15 </w:t>
      </w:r>
      <w:r>
        <w:rPr>
          <w:rFonts w:eastAsia="Times New Roman" w:cs="Times New Roman" w:ascii="Times New Roman" w:hAnsi="Times New Roman"/>
          <w:sz w:val="28"/>
          <w:szCs w:val="28"/>
          <w:highlight w:val="white"/>
        </w:rPr>
        <w:t>В четырех  дворах были установлены детские игровые площадки за счёт софинансирования со стороны жильцов домов. К сожалению, как показывает практика, далеко не все собственники готовы внести средства на проведение каких-либо работ сверх минимального перечня.</w:t>
      </w:r>
    </w:p>
    <w:p>
      <w:pPr>
        <w:pStyle w:val="Normal1"/>
        <w:shd w:val="clear" w:color="auto" w:fill="FFFFFF"/>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hd w:val="clear" w:color="auto" w:fill="FFFFFF"/>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16 </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Отмечу, что и мне, и в аккаунт мэрии в соцсетях очень много людей задают вопрос, когда нам отремонтируют двор, почему наш двор не включили в ФКГС.</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Во-первых - несмотря на популяризацию ФКГС многие до сих пор думают, что чиновники сами выбирают, какой двор включить в план ремонта. А между тем, это право собственников: собраться, решить подать заявку на включение в программу, подготовить документы.</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Во-вторых, ФКГС не панацея, поскольку дворов тысячи, а финансирования по нацпроекту ежегодно выделяется на десятки дворов. Люди должны отдавать себе отчёт, что двор - это часть общедомововго имущества, за которым также необходимо следить и самостоятельно ремонтировать.</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Уважаемые депутаты, ваша деятельность напрямую связана с работой в округах. Пожалуйста, объясняйте людям, что они в силах принимать соответствующие решения!</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hd w:val="clear" w:color="auto" w:fill="FFFFFF"/>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17 </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Продолжая тему благоустройства отмечу, что в прошлом году мы изыскали средства для ремонта тротуаров. Их полный перечень представлен на слайде.</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hd w:val="clear" w:color="auto" w:fill="FFFFFF"/>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18 </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Из наиболее значимых отмечу обустройство тротуара по улице Тентюковской вдоль «Пригородного».</w:t>
      </w:r>
    </w:p>
    <w:p>
      <w:pPr>
        <w:pStyle w:val="Normal1"/>
        <w:shd w:val="clear" w:color="auto" w:fill="FFFFFF"/>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И по улице Интернациональной от Энгельса до Орджоникидзе, по которому к женской консультации ходит довольно много будущих мамочек. Поэтому ремонт этой пешеходной зоны был проведен в приоритетном порядке. Возле самой Женской консультации мы установили новые опоры освещения, скамейки, а также в скором времени высадим деревья что добавило территории комфорта и безопасности. </w:t>
      </w:r>
    </w:p>
    <w:p>
      <w:pPr>
        <w:pStyle w:val="Normal1"/>
        <w:spacing w:lineRule="auto" w:line="240"/>
        <w:ind w:firstLine="70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1"/>
        <w:spacing w:lineRule="auto" w:line="240"/>
        <w:ind w:firstLine="705"/>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Слайд 19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Следующее направление нацпроекта - переселение граждан из аварийного и ветхого жилья. На эти цели было направлено свыше 119 миллионов рублей. В результате жилищные условия были улучшены более чему у двухсот семей. Перечень категорий, получивших новое жилье представлен на слайде.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20 </w:t>
      </w:r>
    </w:p>
    <w:p>
      <w:pPr>
        <w:pStyle w:val="Normal1"/>
        <w:spacing w:lineRule="auto" w:line="240"/>
        <w:ind w:right="-60" w:firstLine="705"/>
        <w:jc w:val="both"/>
        <w:rPr>
          <w:rFonts w:ascii="Times New Roman" w:hAnsi="Times New Roman" w:eastAsia="Times New Roman" w:cs="Times New Roman"/>
          <w:color w:val="FF0000"/>
          <w:sz w:val="28"/>
          <w:szCs w:val="28"/>
          <w:highlight w:val="white"/>
        </w:rPr>
      </w:pPr>
      <w:r>
        <w:rPr>
          <w:rFonts w:eastAsia="Times New Roman" w:cs="Times New Roman" w:ascii="Times New Roman" w:hAnsi="Times New Roman"/>
          <w:sz w:val="28"/>
          <w:szCs w:val="28"/>
          <w:highlight w:val="white"/>
        </w:rPr>
        <w:t>Кроме этого, с прошлого года мы плотно занялись вопросом исполнения судебных решений о предоставлении жилья. На это изыскиваем по 100 млн рублей в год из средств местного бюджета. В 2020 году исполнено 61 судебное решение, на данный момент в очереди по этому вопросу осталось 119 заявителей.</w:t>
      </w:r>
    </w:p>
    <w:p>
      <w:pPr>
        <w:pStyle w:val="Normal1"/>
        <w:spacing w:lineRule="auto" w:line="240"/>
        <w:ind w:right="-60"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21 </w:t>
      </w:r>
    </w:p>
    <w:p>
      <w:pPr>
        <w:pStyle w:val="Normal1"/>
        <w:spacing w:lineRule="auto" w:line="240"/>
        <w:ind w:right="-60"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Решить этот вопрос рассчитываем в ближайшей перспективе. Это важно, поскольку закрытие обязательств по “судебке” позволит в будущем направлять средства на решение других наиболее острых городских вопросов. </w:t>
      </w:r>
    </w:p>
    <w:p>
      <w:pPr>
        <w:pStyle w:val="Normal1"/>
        <w:spacing w:lineRule="auto" w:line="240"/>
        <w:ind w:firstLine="705"/>
        <w:jc w:val="both"/>
        <w:rPr>
          <w:rFonts w:ascii="Times New Roman" w:hAnsi="Times New Roman" w:eastAsia="Times New Roman" w:cs="Times New Roman"/>
          <w:b/>
          <w:b/>
          <w:i/>
          <w:i/>
          <w:sz w:val="28"/>
          <w:szCs w:val="28"/>
          <w:highlight w:val="white"/>
        </w:rPr>
      </w:pPr>
      <w:r>
        <w:rPr>
          <w:rFonts w:eastAsia="Times New Roman" w:cs="Times New Roman" w:ascii="Times New Roman" w:hAnsi="Times New Roman"/>
          <w:b/>
          <w:i/>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Например, снос ветхих и аварийных домов. В отчётный период за счёт средств нацпроекта и муниципальные средства снесено 10 ветхих домов, что на один больше, чем в 2019 году. Пару примеров вы видите на слайде.</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Конечно же, данные темпы недостаточны, но мы планомерно движемся к решению вопроса пресловутых “деревяшек” в центре города. Чтобы создать необходимые условия, сейчас мы сконцентрированы на процессе признания домов аварийными. Если за предыдущие два года таковыми были признаны 109 домов, то за 6 месяцев текущего года аварийными признаны  и в стадии признания таковыми  уже 364 дома. И это не предел. До конца года планируется примерно такое же количество. </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Ещё одно направление нацпроекта “Жильё и городская среда” - это поэтапная работа по обеспечению земельных участков инфраструктурой. Речь идет о строительстве внутримикрорайонных улиц, проездов и обустройстве уличного освещения в районах индивидуального жилищного  строительства, где преимущественно проживают  льготные категории граждан.</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 2020 году проведены работы по строительству ряда улиц в микрорайонах: Сосновая поляна в поселке Краснозатонский и Шордор-2 в поселке Верхняя Максаковка общей протяженностью 6,4 километра.  Разработаны планы развития инфраструктуры по районам, которые будем реализовывать в полном объеме. </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25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2020 году были разработаны новые эскизы цветников. На 69 клумбах в городе и в Эжве общей площадью свыше шести тысяч квадратных метров высажены более 200 тысяч растений.</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2020 году скорректирован перечень цветов в части увеличения разнообразия ассортимента и использования многолетних цветов. Всего в оформлении цветников использовалось 30 видов растений. Отмечу, что мы постепенно наращиваем высадку многолетних декоративных растений, поскольку это красиво, практично и в целом обходится менее затратно по содержанию, чем ежегодные аукционы на обслуживание цветников.</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осенний период проведено озеленение четырех объектов благоустройства –  сквер в местечке Кируль, площадки перед городским плавательным бассейном по ул. Коммунистическая, городской парк в мкр. Строитель,</w:t>
        <w:tab/>
        <w:t>памятник воинам Великой Отечественной войны в поселке Верхняя Максаковка.  Высажены  крупномерные деревья и кустарники.</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Считаю, что для нашего северного города озеленение является приоритетом городского благоустройства. И мы будем наращивать объёмы высадки новых цветов, кустарников и деревьев. Однако однозначно за новыми растениями нужен профессиональный ежедневный и сезонный уход. В этой связи хочу поделиться с вами идеей возродить в Сыктывкаре службу озеленения и ухода за насаждениями - горзеленхоз. Пока это вопрос, что называется, “на подумать”. Мы обязательно вернёмся к нему в течение года.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27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2020 году для обеспечения бесперебойной и энергоэффективной работы сетей уличного освещения был проведен конкурс на заключение энергосервисного контракта.  Контракт заключен в январе 2021 года с “Ростелекомом”.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рамках контракта проведено обследование сетей уличного освещения, началась замена более 9 тысяч светильников на энергосберегающие, модернизации подлежит почти 200 шкафов управления.</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Минимальный размер экономии после реализации мероприятий должен составить не менее 60 процентов. Напомню, что сейчас город ежегодно платит за свет более 52 млн рублей, поэтому в последующем город сможет экономить на освещении существенные ресурсы.</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первоочередном порядке в эти дни завершается замена светильников в центральной исторической части города, где будут проходить основные мероприятия в рамках празднования 100-летия Республики Коми. Закончить основные работы по городу планируется в августе, а окончательно, включая частный сектор и пригородные посёлки - осенью.</w:t>
      </w:r>
    </w:p>
    <w:p>
      <w:pPr>
        <w:pStyle w:val="Normal1"/>
        <w:spacing w:lineRule="auto" w:line="240"/>
        <w:ind w:firstLine="705"/>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1"/>
        <w:spacing w:lineRule="auto" w:line="240"/>
        <w:ind w:firstLine="705"/>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28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2020 году продолжилось внедрение дизайн-кода города, в частности - замена вывесок. Примеры нового стандарта таких конструкций представлены на слайде. Они освобождают фасады от визуального шума и делают внешний облик нашего города приятным глазу и единообразным.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29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Следующий блок - жилищное строительство. Мы отслеживаем эту отрасль в качестве одного из индикаторов социально-экономического развития города. Подробные показатели представлены на слайде, как и перечень основных сданных в прошлом году жилых комплексов. Как вы видите, перечень объектов достаточно широк, они строятся в различных частях города. </w:t>
      </w:r>
    </w:p>
    <w:p>
      <w:pPr>
        <w:pStyle w:val="Normal1"/>
        <w:spacing w:lineRule="auto" w:line="240"/>
        <w:ind w:firstLine="705"/>
        <w:jc w:val="both"/>
        <w:rPr>
          <w:rFonts w:ascii="Times New Roman" w:hAnsi="Times New Roman" w:eastAsia="Times New Roman" w:cs="Times New Roman"/>
          <w:sz w:val="20"/>
          <w:szCs w:val="20"/>
          <w:highlight w:val="white"/>
        </w:rPr>
      </w:pPr>
      <w:r>
        <w:rPr>
          <w:rFonts w:eastAsia="Times New Roman" w:cs="Times New Roman" w:ascii="Times New Roman" w:hAnsi="Times New Roman"/>
          <w:sz w:val="28"/>
          <w:szCs w:val="28"/>
          <w:highlight w:val="white"/>
        </w:rPr>
        <w:t>За 2020 год введено в эксплуатацию почти 123 тысячи кв.м жилья, или 2460 квартир, что на 12,4 % ниже, чем в 2019 году.</w:t>
      </w:r>
      <w:r>
        <w:rPr>
          <w:rFonts w:eastAsia="Times New Roman" w:cs="Times New Roman" w:ascii="Times New Roman" w:hAnsi="Times New Roman"/>
          <w:sz w:val="20"/>
          <w:szCs w:val="20"/>
          <w:highlight w:val="white"/>
        </w:rPr>
        <w:t xml:space="preserve"> </w:t>
      </w:r>
      <w:r>
        <w:rPr>
          <w:rFonts w:eastAsia="Times New Roman" w:cs="Times New Roman" w:ascii="Times New Roman" w:hAnsi="Times New Roman"/>
          <w:sz w:val="28"/>
          <w:szCs w:val="28"/>
          <w:highlight w:val="white"/>
        </w:rPr>
        <w:t>Снижение показателей объективно вызвано экономической ситуацией, сложившейся из-за распространения коронавируса. Вместе с тем, мы видим снижение динамики, а не её отсутствие. Даже в такой ситуации идёт строительство как многоквартирных, так и частных домов.</w:t>
      </w:r>
    </w:p>
    <w:p>
      <w:pPr>
        <w:pStyle w:val="Normal1"/>
        <w:spacing w:lineRule="auto" w:line="240"/>
        <w:ind w:firstLine="705"/>
        <w:jc w:val="both"/>
        <w:rPr>
          <w:rFonts w:ascii="Times New Roman" w:hAnsi="Times New Roman" w:eastAsia="Times New Roman" w:cs="Times New Roman"/>
          <w:b/>
          <w:b/>
          <w:i/>
          <w:i/>
          <w:sz w:val="28"/>
          <w:szCs w:val="28"/>
          <w:highlight w:val="white"/>
        </w:rPr>
      </w:pPr>
      <w:r>
        <w:rPr>
          <w:rFonts w:eastAsia="Times New Roman" w:cs="Times New Roman" w:ascii="Times New Roman" w:hAnsi="Times New Roman"/>
          <w:b/>
          <w:i/>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30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Кроме того, в 2020 году проведен капитальный ремонт в 85 многоквартирных домах, где приведены в порядок кровли, заменено лифтовое оборудование. В  настоящее время 87% домов отчисляют взносы в Региональный фонд капремонта и лишь 13% имеют собственные спецсчета.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31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Отдельно подчеркну, что у 21 дома отремонтированы фасады, это  многоквартирные дома и госучреждения, что является неотъемлемой частью благоприятного внешнего облика города. Со своей стороны муниципалитет присоединяется к решению этого вопроса, проводя ремонт фасадов городских учреждений, особенно в центральной исторической части города. Так за 2019-2020 годы отремонтировано 30 фасадов. В планах на этот год – ремонт ещё 13 фасадов.</w:t>
      </w:r>
    </w:p>
    <w:p>
      <w:pPr>
        <w:pStyle w:val="Normal1"/>
        <w:spacing w:lineRule="auto" w:line="240"/>
        <w:ind w:firstLine="705"/>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отчётный период продолжилась работа по вывозке несанкционированно установленных гаражей, которые также портят внешний вид города. Очищались улицы Тентюковская, Станционная, Октябрьский проспект и другие. За 2020 год вывезено 37 гаражей. Динамику по сравнению с 2019 годом и примеры вы видите на экране.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плане на этот год уже более полутора сотен гаражей, вывоз которых мы уже начали (по мере финансирования). В настоящее время демонтировано 4 объекта по улице Пушкина и ещё 4 объекта по улице Кирова собственники вывезли самостоятельно.</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Уважаемые депутаты, пользуясь случаем,  обращаюсь к вам – если на ваших округах имеются такие гаражи,  убеждайте собственников, чтобы они освобождали городские территории. Это дешевле, чем оплачивать принудительный демонтаж.</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гаражей, в прошлом году мы плотно занялись проблемой ветхих, или сгоревших частных “деревяшек” в центральной части города. Мы особо обеспокоены этим вопросом, поскольку такие объекты зачастую привлекают к себе как детвору, так и асоциальных личностей. Да и в некоторых случаях дома буквально свисают над тротуарами, создавая угрозу здоровью граждан.</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Мы выработали правовую позицию о возложении обязанности на собственников зданий по приведению недвижимого имущества в надлежащее состояние и обращаемся с исками в суд.</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результате этой работы в прошлом году собственники снесли 5 домов и восстановили 6 покошеных заборов по улицам Карла Маркса, Пушкина и Свободы. В этом году продолжаем работу. В настоящее время идет демонтаж пяти строений в районе Магистрального проезда, 6/2.</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Ещё одно направление в сфере землепользования - это активизация в 2020 году земельного контроля в части самозахвата муниципальных земель. В Сыктывкаре таких примеров очень много ввиду сложившейся застройки в частном секторе. Многие владельцы земли выставляют заборы где-то на метр, где-то на полметра дальше своей границы. Их примеру следуют соседи, в результате мы получаем целые улицы с зауженным расстоянием от края проезжей части до забора.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Первое негативное влияние, которое мы имеем уже сегодня – это существенные затруднения при механизированной уборке, особенно зимой. Второй момент – на таких участках улиц невозможно распланировать обустройство тротуаров.</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35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Поэтому именно в прошлом году мы начали проводить земельный контроль. Пошли сплошными улицами, уделяя внимание тем из них, на которые были жалобы горожан на неудобство передвижения, а также нарекания наших коммунальных служб на затруднённую уборку.</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2021 году не снижаем темпов, уже проведено 38 проверок и 9 рейдовых осмотров земельных участков по улицам Энгельса, Братьев Жилиных, Тентюковской, Громова, Банбана, Савина, Заводской, Домны Каликовой, Интернациональной, Сысольскому шоссе и другим.</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36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Вместе с тем, уборка и обслуживание улиц проводится в плановом режиме. Этому способствует новая коммунальная техника. В прошлом году администрацией города приобретено 17 единиц новой техники для «Дорожного хозяйства», «Жилкомсервиса» и «Эжвинского жилкомхоза».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И тракторы, и погрузчики, и комбинированные дорожные машины - всё это многоцелевая техника, предназначенная для круглогодичного использования. Летом машины применяются для мойки и очистки от песка и грязи улиц и дорог. Также они удобны для поливки зеленых насаждений и газонов. В зимний период машины очищают дороги от снега и посыпают проезжую часть противогололедным средством.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0"/>
          <w:szCs w:val="20"/>
          <w:highlight w:val="white"/>
        </w:rPr>
      </w:pPr>
      <w:r>
        <w:rPr>
          <w:rFonts w:eastAsia="Times New Roman" w:cs="Times New Roman" w:ascii="Times New Roman" w:hAnsi="Times New Roman"/>
          <w:b/>
          <w:sz w:val="28"/>
          <w:szCs w:val="28"/>
          <w:highlight w:val="white"/>
        </w:rPr>
        <w:t xml:space="preserve">Слайд 37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отчётный период мы закупили 10-местный катер на воздушной подушке “Кайман-10”, который пополнил речной флот нашего предприятия “Жилкомсервис”. Его основная задача - обеспечивать сообщение с заречными посёлками в период паводка и ледостава. Главным образом - с Седкыркещем.</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38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этой части отмечу, что мы начали реализацию проекта установки понтонного моста на переправе в Алёшино. Вопреки обывательскому мнению, нельзя просто купить мост необходимой длины и закрепить его на реке. По всем правилам, необходимо обустройство и строительство устойчивых и безопасных подъездный путей и заездов. Нужна профессиональная проработка вопроса наилучшего варианта конкретного расположения моста.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прошлом году приглашали представителей отрасли строительства подобных сооружений, которые разъяснили принципы организации и этапов данных работ. В настоящее время проводятся конкурсные процедуры по определению подрядчика для разработки технико-экономического обоснования строительства мостового сооружения на Седкыркещ. В течение  ближайшего времени будет известен подрядчик.</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Это большой комплекс различных инженерных и геодезических изысканий, по результатам которых подрядчик должен будет предоставить нам проектные решения по установке моста не позднее 8 декабря этого года. В дальнейшем мэрия будет заказывать разработку проектно-сметной документации на строительство мостового сооружения.</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39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И ещё об одной важной для города и горожан теме - о том, как продвигается вопрос  благоустройства набережной. На текущий момент завершена разработка архитектурной концепции благоустройства набережной. Внесены изменения в части реконструкции спусков лестниц, предполагается их усиление, расширение ступеней под укладку гранита. Документация находится на госэкспертизе до конца августа. Параллельно совместно с Правительством Республики Коми идёт поиск источников финансирования. При их наличии, а это порядка 900 млн рублей, сумма будет уточнена после заключения госэкспертизы, уже в начале следующего года можно будет приступить к подготовительному этапу, а при благоприятных погодных условиях завершить все работы в течение 2022 года.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дополнение к благоустройству набережной мы планируем обустроить ливнеперехватывающие сооружения по верхней границе набережной. Соответствующая проектная документация также проходит экпертизу.</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40 </w:t>
      </w:r>
    </w:p>
    <w:p>
      <w:pPr>
        <w:pStyle w:val="Normal1"/>
        <w:spacing w:lineRule="auto" w:line="240"/>
        <w:ind w:right="80" w:firstLine="705"/>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Следующий нацпроект – «Образование». Разбивка по финансированию перед вашими глазами. Как вы видите, основной объём средств был выделен из регионального бюджета. Они были направлены на создание новых ученических мест в школах и в сфере допобразования, а также на проектирование новых объектов.</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41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Отмечу, что 2020 год был очень сложным для всех отраслей, особенно для отрасли образования.</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период пандемии педагоги работали в особых условиях в период с марта по май 2020 года. В кратчайшие сроки образовательный процесс был  перестроен, приняты серьезные меры по организации дистанционного образования – обучены педагоги, организованы горячие линии, аккумулированы и разработаны  методические материалы для работы учителей, во временное пользование  педагогам было передано более 250 единиц компьютерной техники.</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Открыто более 50 «горячих линий» в школах, лицеях, гимназиях,  на которые поступило более тысячи обращений от родителей. Отрасль образования достойно справилась с вызовами,  обеспечила стабильную работу образовательных организаций в сложных эпидемиологических условиях.</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42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С целью профилактики распространения новой коронавирусной инфекции в школах было выделено 24 млн рублей на приобретение оборудования  и средств индивидуальной защиты. Их перечень представлен на слайде. Это позволило не допустить вспышек  массовых заболеваний ковид, гриппом и ОРВИ в наших образовательных организациях.</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43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 период дистанционного обучения, когда многие семьи с детьми оказались в непростом положении, администрация города оказала им адресную поддержку. Речь идет о предоставлении продуктовых наборов за счёт средств бюджета города на общую сумму почти  четыре миллиона рублей.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Прекрасно понимая, что суммы, выделяемые за счёт бюджета на организацию питания  учащихся, являются не очень большими - от 37 до 42 рублей в день на одного школьника - и на эти средства трудно сформировать достаточно сбалансированный сухой продуктовый  набор, было принято решение увеличить стоимость сухих наборов на 120 рублей, в том числе для более 14 тысяч учащихся начальных классов. На эти цели было направлено свыше двух миллионов рублей. Это позволило включить в набор расширенного ассортимента мясные и рыбные консервы, крупы и то, что любят дети - печенье и соки.</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Отмечу, что потока жалоб от родителей по составу продуктовых наборов не было, а в группах школ в социальных сетях были слова благодарности от детей и взрослых.</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Продолжу тему организации школьного питания. Как вы знаете, с 1 сентября 2020 года 100% учащихся начального общего образования  получают питание за счёт бюджета  в соответствии с поручением Президента Российской Федерации - это завтраки для первой смены и обеды для второй. Это поручение было выполнено в полном объёме.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Также в 2020 году был создан создание двухуровневый  общественный  контроль  за организацией питания школьников.</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sz w:val="28"/>
          <w:szCs w:val="28"/>
          <w:highlight w:val="white"/>
        </w:rPr>
        <w:t>Первый уровень - впервые созданный в 2020 году Совет по питанию школьников при администрации города. Это координационный орган, цель которого контроль и оперативное решение вопросов обеспечения стабильного качества организации школьного питания</w:t>
      </w:r>
      <w:r>
        <w:rPr>
          <w:rFonts w:eastAsia="Times New Roman" w:cs="Times New Roman" w:ascii="Times New Roman" w:hAnsi="Times New Roman"/>
          <w:b/>
          <w:sz w:val="28"/>
          <w:szCs w:val="28"/>
          <w:highlight w:val="white"/>
        </w:rPr>
        <w:t xml:space="preserve">.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Второй уровень - в сентябре 2020 года во всех наших школах и лицеях созданы Общественные комиссии - так называемый родительский контроль за организацией и качеством питания учащихся. Каждый родитель имеет право принять участие в этой деятельности.</w:t>
      </w:r>
    </w:p>
    <w:p>
      <w:pPr>
        <w:pStyle w:val="Normal1"/>
        <w:spacing w:lineRule="auto" w:line="240"/>
        <w:ind w:firstLine="705"/>
        <w:jc w:val="both"/>
        <w:rPr>
          <w:rFonts w:ascii="Times New Roman" w:hAnsi="Times New Roman" w:eastAsia="Times New Roman" w:cs="Times New Roman"/>
          <w:i/>
          <w:i/>
          <w:sz w:val="28"/>
          <w:szCs w:val="28"/>
          <w:highlight w:val="white"/>
        </w:rPr>
      </w:pPr>
      <w:r>
        <w:rPr>
          <w:rFonts w:eastAsia="Times New Roman" w:cs="Times New Roman" w:ascii="Times New Roman" w:hAnsi="Times New Roman"/>
          <w:sz w:val="28"/>
          <w:szCs w:val="28"/>
          <w:highlight w:val="white"/>
        </w:rPr>
        <w:t xml:space="preserve">Эта работа продолжена и в 2021 году, и это позволило нам значительно снизить количество обращений родителей по качеству питания. </w:t>
      </w:r>
    </w:p>
    <w:p>
      <w:pPr>
        <w:pStyle w:val="Normal1"/>
        <w:spacing w:lineRule="auto" w:line="240"/>
        <w:ind w:firstLine="705"/>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1"/>
        <w:spacing w:lineRule="auto" w:line="240"/>
        <w:ind w:firstLine="705"/>
        <w:jc w:val="both"/>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45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Продолжить отчёт в сфере образования хочу приятными событиями прошлого года. В столице было открыто сразу две школы на 1800 мест суммарно по нацпроекту “Образование”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1 сентября была открыта новая школа на 1200 мест в микрорайоне Орбита. Она строилась республикой, однако была передана в муниципалитет, и мы оперативно решили вопросы постановки объекта на баланс, организации учебного процесса и обслуживания такой большой школы.</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46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Чуть позже в ноябре была открыта новая школа на 600 мест в местечке Сосновая поляна пригородного поселка Краснозатонский. Школа стала вторым корпусом школы №9. Благодаря открытию этого корпуса, школа полностью ушла от двухсменного режима обучения. Этот объект мы вели со стадии выделения участка, котлована и возведения стен до самого открытия. Сегодня это просторная, светлая и современная школа, которая дала дополнительный импульс развитию Сосновой поляны, стала местом притяжения семей с детьми, пользуется популярностью у любителей спорта.</w:t>
      </w:r>
    </w:p>
    <w:p>
      <w:pPr>
        <w:pStyle w:val="Normal1"/>
        <w:spacing w:lineRule="auto" w:line="240"/>
        <w:ind w:firstLine="705"/>
        <w:jc w:val="both"/>
        <w:rPr>
          <w:rFonts w:ascii="Times New Roman" w:hAnsi="Times New Roman" w:eastAsia="Times New Roman" w:cs="Times New Roman"/>
          <w:b/>
          <w:b/>
          <w:sz w:val="36"/>
          <w:szCs w:val="36"/>
          <w:highlight w:val="white"/>
        </w:rPr>
      </w:pPr>
      <w:r>
        <w:rPr>
          <w:rFonts w:eastAsia="Times New Roman" w:cs="Times New Roman" w:ascii="Times New Roman" w:hAnsi="Times New Roman"/>
          <w:sz w:val="28"/>
          <w:szCs w:val="28"/>
          <w:highlight w:val="white"/>
        </w:rPr>
        <w:t>Напомню, что до этого последняя школа была построена в Сыктывкаре 28 лет назад - это была школа №43.</w:t>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47 </w:t>
      </w:r>
    </w:p>
    <w:p>
      <w:pPr>
        <w:pStyle w:val="Normal1"/>
        <w:spacing w:lineRule="auto" w:line="240"/>
        <w:ind w:firstLine="705"/>
        <w:jc w:val="both"/>
        <w:rPr>
          <w:rFonts w:ascii="Times New Roman" w:hAnsi="Times New Roman" w:cs="Times New Roman"/>
          <w:color w:val="FF0000"/>
          <w:sz w:val="28"/>
          <w:szCs w:val="28"/>
          <w:highlight w:val="white"/>
          <w:u w:val="single"/>
        </w:rPr>
      </w:pPr>
      <w:r>
        <w:rPr>
          <w:rFonts w:eastAsia="Times New Roman" w:cs="Times New Roman" w:ascii="Times New Roman" w:hAnsi="Times New Roman"/>
          <w:sz w:val="28"/>
          <w:szCs w:val="28"/>
          <w:highlight w:val="white"/>
        </w:rPr>
        <w:t xml:space="preserve">Также напомню, что по аналогичному проекту планиуется построить дополнительный корпус школы №21 на месте бывшего городского рынка между улицами Карла Маркса и Юхнина. В прошлом году в рамках нацпроекта “Образование” продолжился процесс выкупа земель у частников.  </w:t>
      </w:r>
      <w:r>
        <w:rPr>
          <w:rFonts w:cs="Times New Roman" w:ascii="Times New Roman" w:hAnsi="Times New Roman"/>
          <w:sz w:val="28"/>
          <w:szCs w:val="28"/>
          <w:highlight w:val="white"/>
        </w:rPr>
        <w:t xml:space="preserve">Из 10 земельных участков по трем оформлены соглашения о добровольной передаче участков </w:t>
      </w:r>
      <w:r>
        <w:rPr>
          <w:rFonts w:cs="Times New Roman" w:ascii="Times New Roman" w:hAnsi="Times New Roman"/>
          <w:i/>
          <w:sz w:val="28"/>
          <w:szCs w:val="28"/>
          <w:highlight w:val="white"/>
        </w:rPr>
        <w:t>(соглашение об изъятии недвижимого имущества для муниципальных нужд),</w:t>
      </w:r>
      <w:r>
        <w:rPr>
          <w:rFonts w:cs="Times New Roman" w:ascii="Times New Roman" w:hAnsi="Times New Roman"/>
          <w:sz w:val="28"/>
          <w:szCs w:val="28"/>
          <w:highlight w:val="white"/>
        </w:rPr>
        <w:t>  по пяти -   решения суда вступили  в законную силу и владельцам направляются средства компенсации стоимости земельных участков и помещений, остальные  - в апелляционной инстанции и в кассационной инстанции.</w:t>
      </w:r>
    </w:p>
    <w:p>
      <w:pPr>
        <w:pStyle w:val="Normal1"/>
        <w:spacing w:lineRule="auto" w:line="240"/>
        <w:ind w:firstLine="705"/>
        <w:jc w:val="both"/>
        <w:rPr>
          <w:rFonts w:ascii="Times New Roman" w:hAnsi="Times New Roman" w:cs="Times New Roman"/>
          <w:sz w:val="28"/>
          <w:szCs w:val="28"/>
          <w:highlight w:val="white"/>
        </w:rPr>
      </w:pPr>
      <w:r>
        <w:rPr>
          <w:rFonts w:cs="Times New Roman" w:ascii="Times New Roman" w:hAnsi="Times New Roman"/>
          <w:sz w:val="28"/>
          <w:szCs w:val="28"/>
          <w:highlight w:val="white"/>
        </w:rPr>
        <w:t xml:space="preserve">Надеемся, решить этот вопрос до конца этого года путем включения в федеральную программу для реализации проекта.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color w:val="CCCCCC"/>
          <w:sz w:val="28"/>
          <w:szCs w:val="28"/>
          <w:highlight w:val="white"/>
        </w:rPr>
      </w:pPr>
      <w:r>
        <w:rPr>
          <w:rFonts w:eastAsia="Times New Roman" w:cs="Times New Roman" w:ascii="Times New Roman" w:hAnsi="Times New Roman"/>
          <w:b/>
          <w:color w:val="CCCCCC"/>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48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Также в рамках нацпроекта в конце прошлого года началось проектирование новой школы в местечке Емваль Эжвинского района.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Новый соцобъект расположится прямо за зданием только что построенного нового детского сада, о котором я расскажу чуть позже. Что касается нового объекта - это будет трёхэтажная школа, 33 учебных класса вместят в себя ребят от первоклашек до выпускников. Сейчас проект проходит госэкспертизу, в ближайшие несколько лет планируем начать строительство школы. Пока работаем с Минобразом республики по решению вопроса включения проекта в федеральную программу на 2022 год.</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49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рамках реализации нацпроекта в 2020 году создано 60 новых мест дополнительного образования детей на базе городского «Дворца творчества детей и учащейся молодёжи». Для этого закуплено оборудование для обучения ребят по направлению «ЗD-моделирование».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Благодаря этому дети осваивают современные IT-технологии, учатся работать с программами трехмерного моделирования, печатают на 3D принтере и так далее.</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50 </w:t>
      </w:r>
      <w:r>
        <w:rPr>
          <w:rFonts w:eastAsia="Times New Roman" w:cs="Times New Roman" w:ascii="Times New Roman" w:hAnsi="Times New Roman"/>
          <w:sz w:val="28"/>
          <w:szCs w:val="28"/>
          <w:highlight w:val="white"/>
        </w:rPr>
        <w:t>Следующий важный нацпроект - «Демография». Суммы финансирования по нему за прошлый год составила  почти 376 млн рублей (</w:t>
      </w:r>
      <w:r>
        <w:rPr>
          <w:rFonts w:eastAsia="Times New Roman" w:cs="Times New Roman" w:ascii="Times New Roman" w:hAnsi="Times New Roman"/>
          <w:i/>
          <w:sz w:val="28"/>
          <w:szCs w:val="28"/>
          <w:highlight w:val="white"/>
        </w:rPr>
        <w:t>375,9 миллиона рублей</w:t>
      </w:r>
      <w:r>
        <w:rPr>
          <w:rFonts w:eastAsia="Times New Roman" w:cs="Times New Roman" w:ascii="Times New Roman" w:hAnsi="Times New Roman"/>
          <w:sz w:val="28"/>
          <w:szCs w:val="28"/>
          <w:highlight w:val="white"/>
        </w:rPr>
        <w:t>).  Реализация нацпроекта шла в сфере модернизации объектов физической культуры и спорта, а также дошкольного образования. Остановлюсь на последней.</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51 </w:t>
      </w:r>
    </w:p>
    <w:p>
      <w:pPr>
        <w:pStyle w:val="Normal1"/>
        <w:spacing w:lineRule="auto" w:line="240"/>
        <w:ind w:firstLine="705"/>
        <w:jc w:val="both"/>
        <w:rPr>
          <w:rFonts w:ascii="Times New Roman" w:hAnsi="Times New Roman" w:eastAsia="Times New Roman" w:cs="Times New Roman"/>
          <w:sz w:val="28"/>
          <w:szCs w:val="28"/>
        </w:rPr>
      </w:pPr>
      <w:r>
        <w:rPr>
          <w:rFonts w:eastAsia="Times New Roman" w:cs="Times New Roman" w:ascii="Times New Roman" w:hAnsi="Times New Roman"/>
          <w:sz w:val="28"/>
          <w:szCs w:val="28"/>
          <w:highlight w:val="white"/>
        </w:rPr>
        <w:t xml:space="preserve">В сфере дошкольного образования прошлый год прошел под знаком строительства нового детского сада на 270 мест с бассейном в местечке Емваль Эжвинского района. Его открытие состоялось в марте этого года. Это также светлое просторное учебное заведение для самых маленьких жителей нашего города.  Уже сегодня – завтра подрядчик приступает к работам по обустройству подъездных путей, благоустройству и мероприятиям по дренажу прилегающей в детсаду территории.  </w:t>
      </w:r>
      <w:r>
        <w:rPr>
          <w:rFonts w:eastAsia="Times New Roman" w:cs="Times New Roman" w:ascii="Times New Roman" w:hAnsi="Times New Roman"/>
          <w:sz w:val="28"/>
          <w:szCs w:val="28"/>
        </w:rPr>
        <w:t xml:space="preserve"> Работы будут завершены до конца августа. </w:t>
      </w:r>
    </w:p>
    <w:p>
      <w:pPr>
        <w:pStyle w:val="Normal1"/>
        <w:spacing w:lineRule="auto" w:line="240"/>
        <w:ind w:firstLine="705"/>
        <w:jc w:val="both"/>
        <w:rPr>
          <w:rFonts w:ascii="Times New Roman" w:hAnsi="Times New Roman" w:eastAsia="Times New Roman" w:cs="Times New Roman"/>
          <w:sz w:val="28"/>
          <w:szCs w:val="28"/>
        </w:rPr>
      </w:pP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 xml:space="preserve">Помимо этого завершается привязка к местности участка, где планируется построить детсад в местечке Кочпон-Чит. После чего будет направлена заявка в региональный Минобраз для включения этого проекта в республиканскую или федеральную программы.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52 </w:t>
      </w:r>
    </w:p>
    <w:p>
      <w:pPr>
        <w:pStyle w:val="Normal1"/>
        <w:spacing w:lineRule="auto" w:line="240"/>
        <w:ind w:firstLine="705"/>
        <w:jc w:val="both"/>
        <w:rPr>
          <w:rFonts w:ascii="Times New Roman" w:hAnsi="Times New Roman" w:eastAsia="Times New Roman" w:cs="Times New Roman"/>
          <w:sz w:val="36"/>
          <w:szCs w:val="36"/>
          <w:highlight w:val="white"/>
        </w:rPr>
      </w:pPr>
      <w:r>
        <w:rPr>
          <w:rFonts w:eastAsia="Times New Roman" w:cs="Times New Roman" w:ascii="Times New Roman" w:hAnsi="Times New Roman"/>
          <w:sz w:val="28"/>
          <w:szCs w:val="28"/>
          <w:highlight w:val="white"/>
        </w:rPr>
        <w:t>Кроме этого, в прошлом году мы продолжили практику выкупа помещений на первых этажах новостроек. Так благодаря нацпроекту “Демография” приобретен и полностью оборудован под ясельные группы первый этаж одного из домов в ЖК “Атлантида”. Это помещение стало уже четвертым корпусом детсада номер 23, оно рассчитано на 80 мест. Новый корпус детсада получился светлым, ярким и полностью оснащенным всем необходимым для юных воспитанников. Уверена, что здесь будет уютно и интересно и детям, и комфортно работать воспитателям.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53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Дополню, что в 2020 году мы начали предоставлять субсидии частным детсадам, чтобы те могли установить фиксированную родительскую плату на уровне платы в муниципальных садах. Как вы видите, достаточно большое количество родителей смогли водить деток в частные сады. Добавлю, что в 2021 году от 2 индивидуальных предпринимателей и 2 юридических лиц получена заявка на предоставление субсидии на 155 мест.</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Продолжу отчёт о нацпроекте “Демография” его подпроектом - “Спорт - норма жизни”.</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рамках его реализации установлена малая спортивная площадка для выполнения норм ГТО на территории школы №1, пополнена материально-техническая база спортшколы  - лыжной базы “Фаворит”</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55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того, 26,5 млн рублей было направлено на модернизацию материально-технической базы спортшколы “Северная Олимпия”. В частности, была закуплена дорогостоящая машина для заливки льда, тренажёры и другое оборудование.</w:t>
      </w:r>
    </w:p>
    <w:p>
      <w:pPr>
        <w:pStyle w:val="Normal1"/>
        <w:spacing w:lineRule="auto" w:line="240"/>
        <w:ind w:left="720" w:hanging="0"/>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56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Особое внимание акцентирую на реализации в 2020 году крупных проектов, которые также способствовали вовлечению занятиями спортом бОльшего числа горожан.</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Так по нацпроекту прошлым летом был оборудован новый стадион в Давпоне. Совместно с коллегами все лето контролировали ход строительства объекта, общались с жителями района - отзывы только положительные. Конечно, в этом районе остро не хватало такой точки притяжения и теперь там практически в любое время занимаются спортом люди всех возрастов. Что немаловажно, наши активные горожане “третьего возраста” активно занимаются здесь скандинавской ходьбой. Этот стадион универсальный: тут есть площадка ГТО, поле для футбола летом и хоккея зимой, беговая дорожка и трибуны. До конца следующей недели в ответ на обращения горожан силами МКП «Дорожное хозяйство» будут отсыпаны асфальтовой крошкой подходы к стадиону.</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Отмечу, что на указанные выше объекты и обновление материальной базы спортшкол было предусмотрено почти 63 млн рублей.</w:t>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Слайд 57</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того, сопоставимый по размерам и функциональности стадион в прошлом году был построен в Верхней Максаковке за счёт средств адресной региональной инвестпрограммы. На базе стадиона проходят тренировки местной спортшколы, различные соревнования, включая традиционные межпоселковые состязания.</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58 </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sz w:val="28"/>
          <w:szCs w:val="28"/>
          <w:highlight w:val="white"/>
        </w:rPr>
        <w:t>Кроме этого, за счет средств муниципального бюджета в прошлом году начато обустройство новой баскетбольной площадки в парке имени Кирова и введен в эксплуатацию дополнительный зал единоборств спортшколой олимпийского резерва «Эжва».</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b/>
          <w:sz w:val="28"/>
          <w:szCs w:val="28"/>
          <w:highlight w:val="white"/>
        </w:rPr>
        <w:t xml:space="preserve">Слайд 59 </w:t>
      </w:r>
      <w:r>
        <w:rPr>
          <w:rFonts w:eastAsia="Times New Roman" w:cs="Times New Roman" w:ascii="Times New Roman" w:hAnsi="Times New Roman"/>
          <w:sz w:val="28"/>
          <w:szCs w:val="28"/>
          <w:highlight w:val="white"/>
        </w:rPr>
        <w:t>Отмечу ещё одну нашу инициативу, которая была обусловлена коронавирусными ограничениями и реализация которой нашла положительный отклик среди  горожан.</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декабре прошлого года в связи с эпидобстановкой и по итогам онлайн опроса жителей города мы приняли решение не проводить новогодний салют. Сэкономленные средства были направлены на освещение, заливку льда и уборку от снега на ряде спортобъектов. Мы получили много положительных отзывов в соцсетях, что говорит о востребованности зимних видов активностей у горожан.</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60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Также прошлый год не обошёлся без приятных событий в отрасли культуры. Конечно, из-за коронавируса почти все мероприятия ушли в онлайн, однако было реализовано несколько важных проектов по совершенствованию библиотечной сети города.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По новому модельному стандарту были переоборудованы сразу три библиотеки - 1 за “Товарами для дома” по улице Карла Маркса, ещё 2 - в Эжвинском районе.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Напомню, годом ранее были открыты две библиотеки и они стали первыми в России, оборудованными по модельному стандарту. Итого сегодня в городе у нас есть 5 таких библиотек.</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Что означает модельный стандарт - это стильный дизайн, многофункциональность и современное оснащение. Кто был в обновленных библиотеках, тот знает, что это действительно уютное место, куда хочется вернуться самому или с детьми для досуга и развития и чтения.</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61 </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Несмотря на все особенности прошлого года, мы продолжили взаимодействие с нашими социальными партнёрами. У нас действовало 34 соглашения о социально-экономическом сотрудничестве, в том числе в рамках 6 соглашений оказывалась финансовая поддержка городу на различные мероприятия.</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За счёт этих средств приобретены новогодние подарки для деток разных категорий, в том числе из многодетных семей. Шло укрепление материально-технической базы городских образовательных учреждений.</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Проводились различные мероприятия, приуроченные к общероссийским праздникам и знаковым датам Республики Коми и её столицы. Кроме того, подписано соглашение с Монди СЛПК по проектировании и строительстве парка в Эжве в районе ул. Славы с участием московским проектировщиков и архитекторов. </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 2021 году продолжается работа по заключению соглашений о социально - экономическом сотрудничестве.  В Настоящее время уже удалось привлечь почти 9 млн.руб. </w:t>
      </w:r>
    </w:p>
    <w:p>
      <w:pPr>
        <w:pStyle w:val="Normal1"/>
        <w:spacing w:lineRule="auto" w:line="240"/>
        <w:ind w:firstLine="700"/>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Конечно же, стоит поблагодарить всех наших партнёров, которые вкладывают в развитие города не только материально, но и своим участием в наших мероприятиях, организационной поддержкой в реализации самых разных инициатив. </w:t>
      </w:r>
    </w:p>
    <w:p>
      <w:pPr>
        <w:pStyle w:val="Normal1"/>
        <w:spacing w:lineRule="auto" w:line="240"/>
        <w:ind w:firstLine="700"/>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62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Коллеги, отдельно остановлюсь на проектах по развитию пригородных посёлков. Помимо обустройства коммунальной инфаструктуры в рамках нацпроекта “Жильё и городская среда” мы планомерно двигаемся по нескольким направлениям.</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 xml:space="preserve">В сфере дорожного строительства в прошлом году обустроены подъездные пути к новой школе на 600 мест в Сосновой поляне. Новая дорога обеспечит комфортный подъезд к учреждению и сделает перемещение по этому участку более комфортным. В этом году будут завершены работы по укладке второго слоя асфальта. На этом эти работы будут завершены. </w:t>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 xml:space="preserve">Для подвоза школьников сейчас решаем вопрос об изменении схем курсирования автобусов, для которых возле школы также в прошлом году оборудована разворотная площадка и остановочный комплекс. </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63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В посёлке Верхняя Максаковка в прошлом году были запланированы работы по бурению новых скважин на воду. Это было необходимо для подтверждения и оценки запасов воды. Три таких скважины были пробурены и есть хорошие новости - вода в этом месторождении есть в достаточном количестве! В настоящий момент идёт подготовка документации на использование недр. Новые и около полутора десятков старых скважин планируется объединить в общий контур и подключить в центральную систему водоснажения.</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Кроме этого, в прошлом году завершены проектные работы по двум объектам - строительству водовода на Седкыркещ и канализационного коллектора от Краснозатонского до СЛДК. Реализация этих проектов является очень дорогостоящей, поэтому имея документацию на руках, мы будем включаться в целевые программы. В частности, совместно с региональным Минстроем будем заявляться в федеральную программу “Чистая вода”.</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64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Также достаточно большой объём работы проводится благодаря реализации регионального проекта «Народный бюджет». За предыдущий год реализовано 8 народный проектов. Разбивка по направленности проектов представлена на слайде.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65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Завершая свой доклад подчеркну, что всегда открыта для общения. Горожане ежедневно пишут мне в социальных сетях, по мере возможности даю ответы и разъяснения, многие вопросы беру на карандаш и поручаю профильным управлениям отработать те или иные моменты.</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Тоже самое касается взаимодействия с общественными организациями, инициативными группами. В диалоге появляется более глубокое понимание проблем, рождаются самые рациональные предложения по улучшению жизни в нашем любимом городе.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Уважаемые депутаты, вы знаете, что мои двери открыты для вас. Мы встречаемся с вами и по фракциями, и индивидуально - и я благодарю вас за конструктивную работу.</w:t>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r>
    </w:p>
    <w:p>
      <w:pPr>
        <w:pStyle w:val="Normal1"/>
        <w:spacing w:lineRule="auto" w:line="240"/>
        <w:ind w:firstLine="705"/>
        <w:jc w:val="both"/>
        <w:rPr>
          <w:rFonts w:ascii="Times New Roman" w:hAnsi="Times New Roman" w:eastAsia="Times New Roman" w:cs="Times New Roman"/>
          <w:b/>
          <w:b/>
          <w:sz w:val="28"/>
          <w:szCs w:val="28"/>
          <w:highlight w:val="white"/>
        </w:rPr>
      </w:pPr>
      <w:r>
        <w:rPr>
          <w:rFonts w:eastAsia="Times New Roman" w:cs="Times New Roman" w:ascii="Times New Roman" w:hAnsi="Times New Roman"/>
          <w:b/>
          <w:sz w:val="28"/>
          <w:szCs w:val="28"/>
          <w:highlight w:val="white"/>
        </w:rPr>
        <w:t xml:space="preserve">Слайд 66 </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Мы видим, что новая реальность продолжает диктовать нам свои условия, мы продолжаем работу в условиях ограничительных мер. Это означает, что нам необходимо консолидировать усилия не только в борьбе с ковидом, но и в работе на будущее Сыктывкара. Давайте вместе сделаем наш город лучше!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t>Благодарю за внимание!</w:t>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i/>
          <w:i/>
          <w:sz w:val="20"/>
          <w:szCs w:val="20"/>
          <w:highlight w:val="white"/>
        </w:rPr>
      </w:pPr>
      <w:r>
        <w:rPr>
          <w:rFonts w:eastAsia="Times New Roman" w:cs="Times New Roman" w:ascii="Times New Roman" w:hAnsi="Times New Roman"/>
          <w:i/>
          <w:sz w:val="20"/>
          <w:szCs w:val="20"/>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rFonts w:ascii="Times New Roman" w:hAnsi="Times New Roman" w:eastAsia="Times New Roman" w:cs="Times New Roman"/>
          <w:sz w:val="28"/>
          <w:szCs w:val="28"/>
          <w:highlight w:val="white"/>
        </w:rPr>
      </w:pPr>
      <w:r>
        <w:rPr>
          <w:rFonts w:eastAsia="Times New Roman" w:cs="Times New Roman" w:ascii="Times New Roman" w:hAnsi="Times New Roman"/>
          <w:sz w:val="28"/>
          <w:szCs w:val="28"/>
          <w:highlight w:val="white"/>
        </w:rPr>
      </w:r>
    </w:p>
    <w:p>
      <w:pPr>
        <w:pStyle w:val="Normal1"/>
        <w:spacing w:lineRule="auto" w:line="240"/>
        <w:ind w:firstLine="705"/>
        <w:jc w:val="both"/>
        <w:rPr/>
      </w:pPr>
      <w:r>
        <w:rPr/>
      </w:r>
    </w:p>
    <w:sectPr>
      <w:footerReference w:type="default" r:id="rId2"/>
      <w:type w:val="nextPage"/>
      <w:pgSz w:w="11906" w:h="16838"/>
      <w:pgMar w:left="1559" w:right="973" w:header="0" w:top="992" w:footer="45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17</w:t>
    </w:r>
    <w:r>
      <w:rPr/>
      <w:fldChar w:fldCharType="end"/>
    </w:r>
  </w:p>
</w:ftr>
</file>

<file path=word/settings.xml><?xml version="1.0" encoding="utf-8"?>
<w:settings xmlns:w="http://schemas.openxmlformats.org/wordprocessingml/2006/main">
  <w:zoom w:percent="13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e7b3d"/>
    <w:pPr>
      <w:widowControl/>
      <w:bidi w:val="0"/>
      <w:spacing w:lineRule="auto" w:line="276" w:before="0" w:after="0"/>
      <w:jc w:val="left"/>
    </w:pPr>
    <w:rPr>
      <w:rFonts w:ascii="Arial" w:hAnsi="Arial" w:eastAsia="Arial" w:cs="Arial"/>
      <w:color w:val="auto"/>
      <w:kern w:val="0"/>
      <w:sz w:val="22"/>
      <w:szCs w:val="22"/>
      <w:lang w:val="ru-RU" w:eastAsia="ru-RU" w:bidi="ar-SA"/>
    </w:rPr>
  </w:style>
  <w:style w:type="paragraph" w:styleId="1">
    <w:name w:val="Heading 1"/>
    <w:basedOn w:val="Normal1"/>
    <w:next w:val="Normal1"/>
    <w:qFormat/>
    <w:rsid w:val="00b54452"/>
    <w:pPr>
      <w:keepNext w:val="true"/>
      <w:keepLines/>
      <w:spacing w:before="400" w:after="120"/>
      <w:outlineLvl w:val="0"/>
    </w:pPr>
    <w:rPr>
      <w:sz w:val="40"/>
      <w:szCs w:val="40"/>
    </w:rPr>
  </w:style>
  <w:style w:type="paragraph" w:styleId="2">
    <w:name w:val="Heading 2"/>
    <w:basedOn w:val="Normal1"/>
    <w:next w:val="Normal1"/>
    <w:qFormat/>
    <w:rsid w:val="00b54452"/>
    <w:pPr>
      <w:keepNext w:val="true"/>
      <w:keepLines/>
      <w:spacing w:before="360" w:after="120"/>
      <w:outlineLvl w:val="1"/>
    </w:pPr>
    <w:rPr>
      <w:sz w:val="32"/>
      <w:szCs w:val="32"/>
    </w:rPr>
  </w:style>
  <w:style w:type="paragraph" w:styleId="3">
    <w:name w:val="Heading 3"/>
    <w:basedOn w:val="Normal1"/>
    <w:next w:val="Normal1"/>
    <w:qFormat/>
    <w:rsid w:val="00b54452"/>
    <w:pPr>
      <w:keepNext w:val="true"/>
      <w:keepLines/>
      <w:spacing w:before="320" w:after="80"/>
      <w:outlineLvl w:val="2"/>
    </w:pPr>
    <w:rPr>
      <w:color w:val="434343"/>
      <w:sz w:val="28"/>
      <w:szCs w:val="28"/>
    </w:rPr>
  </w:style>
  <w:style w:type="paragraph" w:styleId="4">
    <w:name w:val="Heading 4"/>
    <w:basedOn w:val="Normal1"/>
    <w:next w:val="Normal1"/>
    <w:qFormat/>
    <w:rsid w:val="00b54452"/>
    <w:pPr>
      <w:keepNext w:val="true"/>
      <w:keepLines/>
      <w:spacing w:before="280" w:after="80"/>
      <w:outlineLvl w:val="3"/>
    </w:pPr>
    <w:rPr>
      <w:color w:val="666666"/>
      <w:sz w:val="24"/>
      <w:szCs w:val="24"/>
    </w:rPr>
  </w:style>
  <w:style w:type="paragraph" w:styleId="5">
    <w:name w:val="Heading 5"/>
    <w:basedOn w:val="Normal1"/>
    <w:next w:val="Normal1"/>
    <w:qFormat/>
    <w:rsid w:val="00b54452"/>
    <w:pPr>
      <w:keepNext w:val="true"/>
      <w:keepLines/>
      <w:spacing w:before="240" w:after="80"/>
      <w:outlineLvl w:val="4"/>
    </w:pPr>
    <w:rPr>
      <w:color w:val="666666"/>
    </w:rPr>
  </w:style>
  <w:style w:type="paragraph" w:styleId="6">
    <w:name w:val="Heading 6"/>
    <w:basedOn w:val="Normal1"/>
    <w:next w:val="Normal1"/>
    <w:qFormat/>
    <w:rsid w:val="00b54452"/>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Style8" w:customStyle="1">
    <w:name w:val="Текст примечания Знак"/>
    <w:basedOn w:val="DefaultParagraphFont"/>
    <w:link w:val="a5"/>
    <w:uiPriority w:val="99"/>
    <w:semiHidden/>
    <w:qFormat/>
    <w:rsid w:val="00b54452"/>
    <w:rPr>
      <w:sz w:val="20"/>
      <w:szCs w:val="20"/>
    </w:rPr>
  </w:style>
  <w:style w:type="character" w:styleId="Annotationreference">
    <w:name w:val="annotation reference"/>
    <w:basedOn w:val="DefaultParagraphFont"/>
    <w:uiPriority w:val="99"/>
    <w:semiHidden/>
    <w:unhideWhenUsed/>
    <w:qFormat/>
    <w:rsid w:val="00b54452"/>
    <w:rPr>
      <w:sz w:val="16"/>
      <w:szCs w:val="16"/>
    </w:rPr>
  </w:style>
  <w:style w:type="character" w:styleId="Style9" w:customStyle="1">
    <w:name w:val="Текст выноски Знак"/>
    <w:basedOn w:val="DefaultParagraphFont"/>
    <w:link w:val="a8"/>
    <w:uiPriority w:val="99"/>
    <w:semiHidden/>
    <w:qFormat/>
    <w:rsid w:val="00547ce6"/>
    <w:rPr>
      <w:rFonts w:ascii="Tahoma" w:hAnsi="Tahoma" w:cs="Tahoma"/>
      <w:sz w:val="16"/>
      <w:szCs w:val="16"/>
    </w:rPr>
  </w:style>
  <w:style w:type="paragraph" w:styleId="Style10">
    <w:name w:val="Заголовок"/>
    <w:basedOn w:val="Normal"/>
    <w:next w:val="Style11"/>
    <w:qFormat/>
    <w:pPr>
      <w:keepNext w:val="true"/>
      <w:spacing w:before="240" w:after="120"/>
    </w:pPr>
    <w:rPr>
      <w:rFonts w:ascii="Liberation Sans" w:hAnsi="Liberation Sans" w:eastAsia="Microsoft YaHei" w:cs="Mangal"/>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Mangal"/>
    </w:rPr>
  </w:style>
  <w:style w:type="paragraph" w:styleId="Style13">
    <w:name w:val="Caption"/>
    <w:basedOn w:val="Normal"/>
    <w:qFormat/>
    <w:pPr>
      <w:suppressLineNumbers/>
      <w:spacing w:before="120" w:after="120"/>
    </w:pPr>
    <w:rPr>
      <w:rFonts w:cs="Mangal"/>
      <w:i/>
      <w:iCs/>
      <w:sz w:val="24"/>
      <w:szCs w:val="24"/>
    </w:rPr>
  </w:style>
  <w:style w:type="paragraph" w:styleId="Style14">
    <w:name w:val="Указатель"/>
    <w:basedOn w:val="Normal"/>
    <w:qFormat/>
    <w:pPr>
      <w:suppressLineNumbers/>
    </w:pPr>
    <w:rPr>
      <w:rFonts w:cs="Mangal"/>
    </w:rPr>
  </w:style>
  <w:style w:type="paragraph" w:styleId="Normal1" w:customStyle="1">
    <w:name w:val="LO-normal"/>
    <w:qFormat/>
    <w:rsid w:val="00b54452"/>
    <w:pPr>
      <w:widowControl/>
      <w:bidi w:val="0"/>
      <w:spacing w:lineRule="auto" w:line="276" w:before="0" w:after="0"/>
      <w:jc w:val="left"/>
    </w:pPr>
    <w:rPr>
      <w:rFonts w:ascii="Arial" w:hAnsi="Arial" w:eastAsia="Arial" w:cs="Arial"/>
      <w:color w:val="auto"/>
      <w:kern w:val="0"/>
      <w:sz w:val="22"/>
      <w:szCs w:val="22"/>
      <w:lang w:val="ru-RU" w:eastAsia="ru-RU" w:bidi="ar-SA"/>
    </w:rPr>
  </w:style>
  <w:style w:type="paragraph" w:styleId="Style15">
    <w:name w:val="Title"/>
    <w:basedOn w:val="Normal1"/>
    <w:next w:val="Normal1"/>
    <w:qFormat/>
    <w:rsid w:val="00b54452"/>
    <w:pPr>
      <w:keepNext w:val="true"/>
      <w:keepLines/>
      <w:spacing w:before="0" w:after="60"/>
    </w:pPr>
    <w:rPr>
      <w:sz w:val="52"/>
      <w:szCs w:val="52"/>
    </w:rPr>
  </w:style>
  <w:style w:type="paragraph" w:styleId="Style16">
    <w:name w:val="Subtitle"/>
    <w:basedOn w:val="Normal1"/>
    <w:next w:val="Normal1"/>
    <w:qFormat/>
    <w:rsid w:val="00b54452"/>
    <w:pPr>
      <w:keepNext w:val="true"/>
      <w:keepLines/>
      <w:spacing w:before="0" w:after="320"/>
    </w:pPr>
    <w:rPr>
      <w:color w:val="666666"/>
      <w:sz w:val="30"/>
      <w:szCs w:val="30"/>
    </w:rPr>
  </w:style>
  <w:style w:type="paragraph" w:styleId="Annotationtext">
    <w:name w:val="annotation text"/>
    <w:basedOn w:val="Normal"/>
    <w:link w:val="a6"/>
    <w:uiPriority w:val="99"/>
    <w:semiHidden/>
    <w:unhideWhenUsed/>
    <w:qFormat/>
    <w:rsid w:val="00b54452"/>
    <w:pPr>
      <w:spacing w:lineRule="auto" w:line="240"/>
    </w:pPr>
    <w:rPr>
      <w:sz w:val="20"/>
      <w:szCs w:val="20"/>
    </w:rPr>
  </w:style>
  <w:style w:type="paragraph" w:styleId="BalloonText">
    <w:name w:val="Balloon Text"/>
    <w:basedOn w:val="Normal"/>
    <w:link w:val="a9"/>
    <w:uiPriority w:val="99"/>
    <w:semiHidden/>
    <w:unhideWhenUsed/>
    <w:qFormat/>
    <w:rsid w:val="00547ce6"/>
    <w:pPr>
      <w:spacing w:lineRule="auto" w:line="240"/>
    </w:pPr>
    <w:rPr>
      <w:rFonts w:ascii="Tahoma" w:hAnsi="Tahoma" w:cs="Tahoma"/>
      <w:sz w:val="16"/>
      <w:szCs w:val="16"/>
    </w:rPr>
  </w:style>
  <w:style w:type="paragraph" w:styleId="Style17">
    <w:name w:val="Верхний и нижний колонтитулы"/>
    <w:basedOn w:val="Normal"/>
    <w:qFormat/>
    <w:pPr/>
    <w:rPr/>
  </w:style>
  <w:style w:type="paragraph" w:styleId="Style18">
    <w:name w:val="Footer"/>
    <w:basedOn w:val="Style17"/>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b5445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6C163-FF81-4697-A189-9DD0B645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 LibreOffice_project/2196df99b074d8a661f4036fca8fa0cbfa33a497</Application>
  <Pages>14</Pages>
  <Words>4997</Words>
  <Characters>31254</Characters>
  <CharactersWithSpaces>36204</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2021-06-30T08:35:00Z</dcterms:created>
  <dc:creator>Лысаковская Марина Геннадьевна</dc:creator>
  <dc:description/>
  <dc:language>ru-RU</dc:language>
  <cp:lastModifiedBy>lysakovskaya-mg</cp:lastModifiedBy>
  <dcterms:modified xsi:type="dcterms:W3CDTF">2021-06-30T08:35:00Z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